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1</w:t>
      </w:r>
    </w:p>
    <w:p>
      <w:pPr>
        <w:jc w:val="center"/>
        <w:rPr>
          <w:rFonts w:hint="eastAsia" w:ascii="黑体" w:eastAsia="黑体"/>
          <w:sz w:val="36"/>
          <w:szCs w:val="32"/>
        </w:rPr>
      </w:pPr>
      <w:bookmarkStart w:id="0" w:name="_GoBack"/>
      <w:r>
        <w:rPr>
          <w:rFonts w:hint="eastAsia" w:ascii="黑体" w:eastAsia="黑体"/>
          <w:sz w:val="36"/>
          <w:szCs w:val="32"/>
        </w:rPr>
        <w:t>查摆问题要点</w:t>
      </w:r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政治合格方面。重点查找是否存在理想信念模糊动摇、精神空虚迷茫的问题；是否存在在大是大非面前没有立场、没有态度或态度不鲜明的问题等。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 执行纪律合格方面。重点查找是否存在重大问题上不同党中央保持一致，对党不忠诚、不老实，做“两面人”，独断专行的问题；是否存在搞任人唯亲、团团伙伙、拉帮结派的问题等。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品德合格方面。重点查找是否存在脱离实际、脱离群众，对待群众态度淡漠的问题；是否存在弄虚作假，违反中央八项规定精神， “四风”变相反弹回潮的问题；是否存在不注重家庭、家教、家风的问题；是否存在有偿家教、违规办班等问题。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4. 发挥作用合格方面。重点查找是否存在组织观念淡薄、党性意识不强，不主动参加党的组织生活，不按规定自觉交纳党费的问题；是否存在安于现状、不思进取，庸懒散拖，工作不实，消极应付、推诱扯皮的问题；是否存在对业务技能标准不高、服务本领不强等问题。</w:t>
      </w:r>
    </w:p>
    <w:p>
      <w:r>
        <w:rPr>
          <w:rFonts w:hint="eastAsia" w:ascii="仿宋_GB2312" w:eastAsia="仿宋_GB2312"/>
          <w:sz w:val="32"/>
          <w:szCs w:val="32"/>
        </w:rPr>
        <w:t xml:space="preserve"> 5. 落实全面从严治党责任方面。重点查找是否存在全面从严治党主体责任和监督责任缺失缺位， “一岗双责”落实不到位等问题。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3F99"/>
    <w:rsid w:val="0D193F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2017-03-21T02:46:00Z</dcterms:created>
  <dc:creator>Administrator</dc:creator>
  <cp:lastModifiedBy>Administrator</cp:lastModifiedBy>
  <dcterms:modified xsi:type="dcterms:W3CDTF">2017-03-21T02:47:03Z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